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E6" w:rsidRPr="00912EE6" w:rsidRDefault="00912EE6" w:rsidP="00912EE6">
      <w:pPr>
        <w:shd w:val="clear" w:color="auto" w:fill="BDEEEB"/>
        <w:spacing w:after="0" w:line="240" w:lineRule="auto"/>
        <w:ind w:left="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</w:p>
    <w:p w:rsidR="00912EE6" w:rsidRPr="00912EE6" w:rsidRDefault="00912EE6" w:rsidP="00912EE6">
      <w:pPr>
        <w:shd w:val="clear" w:color="auto" w:fill="FFFFFF"/>
        <w:spacing w:before="199" w:after="199" w:line="408" w:lineRule="atLeast"/>
        <w:ind w:left="930"/>
        <w:outlineLvl w:val="1"/>
        <w:rPr>
          <w:rFonts w:ascii="Arial" w:eastAsia="Times New Roman" w:hAnsi="Arial" w:cs="Arial"/>
          <w:color w:val="333333"/>
          <w:sz w:val="40"/>
          <w:szCs w:val="40"/>
          <w:lang w:val="ru-RU" w:eastAsia="ru-RU" w:bidi="ar-SA"/>
        </w:rPr>
      </w:pPr>
      <w:r w:rsidRPr="00912EE6">
        <w:rPr>
          <w:rFonts w:ascii="Arial" w:eastAsia="Times New Roman" w:hAnsi="Arial" w:cs="Arial"/>
          <w:color w:val="333333"/>
          <w:sz w:val="40"/>
          <w:szCs w:val="40"/>
          <w:lang w:val="ru-RU" w:eastAsia="ru-RU" w:bidi="ar-SA"/>
        </w:rPr>
        <w:t>Про відкритість використання публічних кошті</w:t>
      </w:r>
      <w:proofErr w:type="gramStart"/>
      <w:r w:rsidRPr="00912EE6">
        <w:rPr>
          <w:rFonts w:ascii="Arial" w:eastAsia="Times New Roman" w:hAnsi="Arial" w:cs="Arial"/>
          <w:color w:val="333333"/>
          <w:sz w:val="40"/>
          <w:szCs w:val="40"/>
          <w:lang w:val="ru-RU" w:eastAsia="ru-RU" w:bidi="ar-SA"/>
        </w:rPr>
        <w:t>в</w:t>
      </w:r>
      <w:proofErr w:type="gramEnd"/>
    </w:p>
    <w:tbl>
      <w:tblPr>
        <w:tblW w:w="5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5"/>
      </w:tblGrid>
      <w:tr w:rsidR="00912EE6" w:rsidRPr="00912EE6" w:rsidTr="00912EE6">
        <w:tc>
          <w:tcPr>
            <w:tcW w:w="0" w:type="auto"/>
            <w:vAlign w:val="center"/>
            <w:hideMark/>
          </w:tcPr>
          <w:p w:rsidR="00912EE6" w:rsidRPr="00912EE6" w:rsidRDefault="00912EE6" w:rsidP="00912EE6">
            <w:pPr>
              <w:spacing w:before="319" w:after="319" w:line="240" w:lineRule="auto"/>
              <w:ind w:left="0"/>
              <w:outlineLvl w:val="3"/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 w:bidi="ar-SA"/>
              </w:rPr>
            </w:pPr>
            <w:r w:rsidRPr="00912EE6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 w:bidi="ar-SA"/>
              </w:rPr>
              <w:t> Про відкритість використання публічних кошті</w:t>
            </w:r>
            <w:proofErr w:type="gramStart"/>
            <w:r w:rsidRPr="00912EE6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 w:bidi="ar-SA"/>
              </w:rPr>
              <w:t>в</w:t>
            </w:r>
            <w:proofErr w:type="gramEnd"/>
          </w:p>
        </w:tc>
      </w:tr>
      <w:tr w:rsidR="00912EE6" w:rsidRPr="00912EE6" w:rsidTr="00912EE6">
        <w:tc>
          <w:tcPr>
            <w:tcW w:w="0" w:type="auto"/>
            <w:vAlign w:val="center"/>
            <w:hideMark/>
          </w:tcPr>
          <w:p w:rsidR="00912EE6" w:rsidRPr="00912EE6" w:rsidRDefault="00912EE6" w:rsidP="00912EE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</w:tbl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Про відкритість використання публічних кошті</w:t>
      </w:r>
      <w:proofErr w:type="gramStart"/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в</w:t>
      </w:r>
      <w:proofErr w:type="gramEnd"/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(Відомості Верховно</w:t>
      </w:r>
      <w:proofErr w:type="gramStart"/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ї Р</w:t>
      </w:r>
      <w:proofErr w:type="gramEnd"/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ади (ВВР), 2015, № 16, ст.109)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{Із змінами, внесеними згідно із Законом</w:t>
      </w: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br/>
      </w:r>
      <w:hyperlink r:id="rId5" w:anchor="n202" w:history="1">
        <w:r w:rsidRPr="00912EE6">
          <w:rPr>
            <w:rFonts w:ascii="Arial" w:eastAsia="Times New Roman" w:hAnsi="Arial" w:cs="Arial"/>
            <w:color w:val="39B4ED"/>
            <w:sz w:val="21"/>
            <w:u w:val="single"/>
            <w:lang w:val="ru-RU" w:eastAsia="ru-RU" w:bidi="ar-SA"/>
          </w:rPr>
          <w:t>№ 679-VIII від 15.09.2015</w:t>
        </w:r>
      </w:hyperlink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, ВВР, 2015, № 46, ст.414}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Цей Закон визначає умови та порядок забезпечення доступу до інформації про використання публічних коштів розпорядниками та одержувачами коштів державного і місцевих бюджетів, суб’єктами господарювання державної і комунальної власності, фондами загальнообов’язкового державного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соц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іального страхування.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Розділ I </w:t>
      </w: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br/>
      </w:r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ЗАГАЛЬНІ ПОЛОЖЕННЯ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Стаття 1. </w:t>
      </w: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Визначення термі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н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ів та сфера застосування Закону</w:t>
      </w:r>
    </w:p>
    <w:p w:rsidR="00912EE6" w:rsidRPr="00912EE6" w:rsidRDefault="00912EE6" w:rsidP="00912E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У цьому Законі наведені нижче терміни вживаються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такому значенні: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1) кошти загальнообов’язкового державного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соц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іального страхування – страхові внески, бюджетні надходження та кошти з інших джерел, що надходять для здійснення загальнообов’язкового державного соціального страхування відповідно до закону;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2) публічні кошти – кошти державного бюджету, бюджету Автономної Республіки Крим та місцевих бюджетів, кредитні ресурси, надані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ід державні та місцеві гарантії, кошти Національного банку України, державних банків, державних цільових фондів, Пенсійного фонду України (далі – Пенсійний фонд), фондів загальнообов’язкового державного соціального страхування, а також кошти суб’єктів господарювання державної і комунальної власності, отримані ними від їхньої господарської діяльності;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lastRenderedPageBreak/>
        <w:t xml:space="preserve">3) суб’єкти господарювання державної і комунальної власності (далі –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ідприємства) – підприємства, утворені в установленому порядку органами державної влади, органами влади Автономної Республіки Крим чи органами місцевого самоврядування та уповноважені на отримання державних коштів, взяття за ними зобов’язань і здійснення платежів, у тому числі державні, казенні, комунальні підприємства, а також господарські товариства, у статутному капіталі яких державна або комунальна частка акцій (часток, паїв) перевищує 50 відсотків, їхні дочірні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ідприємства, а також підприємства, господарські товариства, у статутному капіталі яких 50 і більше відсотків належить державним, у тому числі казенним, комунальним підприємствам та господарським товариствам, у статутному капіталі яких державна або комунальна частка акцій (часток, паїв) перевищує 50 відсотків, об’єднання таких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ідприємств.</w:t>
      </w:r>
    </w:p>
    <w:p w:rsidR="00912EE6" w:rsidRPr="00912EE6" w:rsidRDefault="00912EE6" w:rsidP="00912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Терміни</w:t>
      </w:r>
      <w:hyperlink r:id="rId6" w:anchor="n89" w:history="1">
        <w:r w:rsidRPr="00912EE6">
          <w:rPr>
            <w:rFonts w:ascii="Arial" w:eastAsia="Times New Roman" w:hAnsi="Arial" w:cs="Arial"/>
            <w:color w:val="39B4ED"/>
            <w:sz w:val="21"/>
            <w:u w:val="single"/>
            <w:lang w:val="ru-RU" w:eastAsia="ru-RU" w:bidi="ar-SA"/>
          </w:rPr>
          <w:t>“бюджетне асигнування”</w:t>
        </w:r>
      </w:hyperlink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,</w:t>
      </w:r>
      <w:hyperlink r:id="rId7" w:anchor="n91" w:history="1">
        <w:r w:rsidRPr="00912EE6">
          <w:rPr>
            <w:rFonts w:ascii="Arial" w:eastAsia="Times New Roman" w:hAnsi="Arial" w:cs="Arial"/>
            <w:color w:val="39B4ED"/>
            <w:sz w:val="21"/>
            <w:u w:val="single"/>
            <w:lang w:val="ru-RU" w:eastAsia="ru-RU" w:bidi="ar-SA"/>
          </w:rPr>
          <w:t>“бюджетне призначення”</w:t>
        </w:r>
      </w:hyperlink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, </w:t>
      </w:r>
      <w:hyperlink r:id="rId8" w:anchor="n87" w:history="1">
        <w:r w:rsidRPr="00912EE6">
          <w:rPr>
            <w:rFonts w:ascii="Arial" w:eastAsia="Times New Roman" w:hAnsi="Arial" w:cs="Arial"/>
            <w:color w:val="39B4ED"/>
            <w:sz w:val="21"/>
            <w:u w:val="single"/>
            <w:lang w:val="ru-RU" w:eastAsia="ru-RU" w:bidi="ar-SA"/>
          </w:rPr>
          <w:t>“бюджетна програма”</w:t>
        </w:r>
      </w:hyperlink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,</w:t>
      </w:r>
      <w:hyperlink r:id="rId9" w:anchor="n108" w:history="1">
        <w:r w:rsidRPr="00912EE6">
          <w:rPr>
            <w:rFonts w:ascii="Arial" w:eastAsia="Times New Roman" w:hAnsi="Arial" w:cs="Arial"/>
            <w:color w:val="39B4ED"/>
            <w:sz w:val="21"/>
            <w:u w:val="single"/>
            <w:lang w:val="ru-RU" w:eastAsia="ru-RU" w:bidi="ar-SA"/>
          </w:rPr>
          <w:t>“головний розпорядник бюджетних коштів”</w:t>
        </w:r>
      </w:hyperlink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, </w:t>
      </w:r>
      <w:hyperlink r:id="rId10" w:anchor="n146" w:history="1">
        <w:r w:rsidRPr="00912EE6">
          <w:rPr>
            <w:rFonts w:ascii="Arial" w:eastAsia="Times New Roman" w:hAnsi="Arial" w:cs="Arial"/>
            <w:color w:val="39B4ED"/>
            <w:sz w:val="21"/>
            <w:u w:val="single"/>
            <w:lang w:val="ru-RU" w:eastAsia="ru-RU" w:bidi="ar-SA"/>
          </w:rPr>
          <w:t>“розпорядник бюджетних коштів”</w:t>
        </w:r>
      </w:hyperlink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 і </w:t>
      </w:r>
      <w:hyperlink r:id="rId11" w:anchor="n134" w:history="1">
        <w:r w:rsidRPr="00912EE6">
          <w:rPr>
            <w:rFonts w:ascii="Arial" w:eastAsia="Times New Roman" w:hAnsi="Arial" w:cs="Arial"/>
            <w:color w:val="39B4ED"/>
            <w:sz w:val="21"/>
            <w:u w:val="single"/>
            <w:lang w:val="ru-RU" w:eastAsia="ru-RU" w:bidi="ar-SA"/>
          </w:rPr>
          <w:t>“одержувач бюджетних коштів”</w:t>
        </w:r>
      </w:hyperlink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 вживаються у значеннях, наведених у Бюджетному кодексі України, термін “кошти Пенсійного фонду” – у значенні, наведеному в </w:t>
      </w:r>
      <w:hyperlink r:id="rId12" w:history="1">
        <w:r w:rsidRPr="00912EE6">
          <w:rPr>
            <w:rFonts w:ascii="Arial" w:eastAsia="Times New Roman" w:hAnsi="Arial" w:cs="Arial"/>
            <w:color w:val="39B4ED"/>
            <w:sz w:val="21"/>
            <w:u w:val="single"/>
            <w:lang w:val="ru-RU" w:eastAsia="ru-RU" w:bidi="ar-SA"/>
          </w:rPr>
          <w:t>Законі України</w:t>
        </w:r>
      </w:hyperlink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 “Про загальнообов’язкове державне пенсійне страхування”, термін “кошти загальнообов’язкового державного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соц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іального страхування” – у значенні, наведеному в законах про окремі види загальнообов’язкового державного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соц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іального страхування.</w:t>
      </w:r>
    </w:p>
    <w:p w:rsidR="00912EE6" w:rsidRPr="00912EE6" w:rsidRDefault="00912EE6" w:rsidP="00912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Цей Закон поширюється на відносини, пов’язані з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ідготовкою і оприлюдненням розпорядниками та одержувачами коштів державного і місцевих бюджетів, підприємствами, Національним банком України, державними банками, державними цільовими фондами, а також фондами загальнообов’язкового державного соціального страхування та органами Пенсійного фонду інформації про заплановане і фактичне використання публічних коштів.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Стаття 2. </w:t>
      </w: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Єдиний веб-портал використання публічних кошті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</w:t>
      </w:r>
      <w:proofErr w:type="gramEnd"/>
    </w:p>
    <w:p w:rsidR="00912EE6" w:rsidRPr="00912EE6" w:rsidRDefault="00912EE6" w:rsidP="00912E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Інформація, що оприлюднюється згідно з цим Законом, готується розпорядниками та одержувачами коштів Державного бюджету України, бюджету Автономної Республіки Крим і місцевих бюджетів, органами Пенсійного фонду,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ідприємствами, а також фондами загальнообов’язкового державного соціального страхування та подається ними для оприлюднення на єдиному веб-порталі використання публічних коштів.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lastRenderedPageBreak/>
        <w:t xml:space="preserve">Відповідальність за недостовірність і неповноту інформації, оприлюдненої згідно з цим Законом, несуть керівники розпорядників та одержувачів коштів державного і місцевих бюджетів,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ідприємств, органів Пенсійного фонду, а також фондів загальнообов’язкового державного соціального страхування.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Відомості, що оприлюднюються згідно з цим Законом, повинні бути повними, правдивими, точними та реально відображати фактичні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дан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 станом на відповідну дату або за відповідний період часу.</w:t>
      </w:r>
    </w:p>
    <w:p w:rsidR="00912EE6" w:rsidRPr="00912EE6" w:rsidRDefault="00912EE6" w:rsidP="00912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Єдиний веб-портал використання публічних коштів є офіційним державним інформаційним ресурсом у мережі Інтернет, на якому оприлюднюється інформація згідно з цим Законом. Доступ до інформації, оприлюдненої на єдиному веб-порталі використання публічних кошті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, є вільним та безоплатним.</w:t>
      </w:r>
    </w:p>
    <w:p w:rsidR="00912EE6" w:rsidRPr="00912EE6" w:rsidRDefault="00912EE6" w:rsidP="00912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Адміністрування єдиного веб-порталу використання публічних коштів та затвердження форм, за якими надається інформація про заплановане і фактичне використання публічних коштів для оприлюднення, здійснюється суб’єктом, уповноваженим Кабінетом Міні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стр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ів України.</w:t>
      </w:r>
      <w:hyperlink r:id="rId13" w:anchor="n8" w:history="1">
        <w:r w:rsidRPr="00912EE6">
          <w:rPr>
            <w:rFonts w:ascii="Arial" w:eastAsia="Times New Roman" w:hAnsi="Arial" w:cs="Arial"/>
            <w:color w:val="39B4ED"/>
            <w:sz w:val="21"/>
            <w:u w:val="single"/>
            <w:lang w:val="ru-RU" w:eastAsia="ru-RU" w:bidi="ar-SA"/>
          </w:rPr>
          <w:t>Порядок</w:t>
        </w:r>
      </w:hyperlink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адміністрування єдиного веб-порталу використання публічних коштів затверджується Кабінетом Міні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стр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ів України.</w:t>
      </w:r>
    </w:p>
    <w:p w:rsidR="00912EE6" w:rsidRPr="00912EE6" w:rsidRDefault="00912EE6" w:rsidP="00912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Фінансування витрат на утримання єдиного веб-порталу використання публічних коштів здійснюється за рахунок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державного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бюджету.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Стаття 3. </w:t>
      </w: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Змі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ст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інформації про використання публічних коштів, що підлягає оприлюдненню, та строки її оприлюднення</w:t>
      </w:r>
    </w:p>
    <w:p w:rsidR="00912EE6" w:rsidRPr="00912EE6" w:rsidRDefault="00912EE6" w:rsidP="00912E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Інформація про використання публічних коштів, що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ідлягає оприлюдненню, надається за встановленими законодавством України формами та має містити такі відомості: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1) у разі використання коштів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Державного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бюджету України, бюджету Автономної Республіки Крим та місцевих бюджетів: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розпорядник (одержувач) бюджетних коштів (найменування, ідентифікаційний код юридичної особи, місцезнаходження,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ізвище, ім’я та по батькові керівника);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головний розпорядник бюджетних коштів (найменування, місцезнаходження,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ізвище, ім’я та по батькові керівника);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lastRenderedPageBreak/>
        <w:t xml:space="preserve">обсяги бюджетних призначень та/або бюджетних асигнувань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на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відповідний бюджетний період – всього та в розрізі бюджетних програм;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обсяги проведених видатків бюджету та наданих кредитів з бюджету за звітний період – всього та в розрізі бюджетних програм (при цьому зазначаються також види та обсяги відповідних надходжень щодо кошті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спеціального фонду бюджету);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інформація про укладені за звітний період договори (предмет договору, виконавець (найменування, ідентифікаційний код юридичної особи, місцезнаходження), вартість договору, ціна за одиницю (за наявності), кількість закупленого товару, робіт та/або послуг, проведена процедура закупі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вл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 або обґрунтування її відсутності з посиланням на закон, обсяг платежів за договором у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звітному періоді, строк дії договору);</w:t>
      </w:r>
      <w:proofErr w:type="gramEnd"/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інформація про стан виконання договорів, укладених у попередні звітні періоди, з усіма додатками, які є їх невід’ємною частиною (предмет договору, виконавець (найменування, ідентифікаційний код юридичної особи, місцезнаходження,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ізвище, ім’я та по батькові керівника), вартість договору, ціна за одиницю (за наявності), процедура закупівлі або обґрунтування її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відсутності з посиланням на закон, обсяг платежів за договором у звітному періоді, наявність або відсутність претензій і штрафних санкцій, що виникли в результаті виконання договору, акти виконання договору (акти наданих послуг, приймання-передачі, виконаних робіт) за наявності);</w:t>
      </w:r>
      <w:proofErr w:type="gramEnd"/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кількість службових відряджень,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у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тому числі із зазначенням кількості закордонних відряджень, загальний обсяг витрат на службові відрядження, у тому числі із зазначенням обсягу витрат на закордонні відрядження.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Інформація, зазначена в цьому пункті, оприлюднюється щоквартально, не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ізніш як за 35 днів після закінчення звітного кварталу, та зберігається в режимі вільного доступу протягом трьох років з дня оприлюднення;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2) у разі використання коштів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ідприємств, отриманих ними від їхньої господарської діяльності: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ідприємство (найменування, ідентифікаційний код юридичної особи, місцезнаходження, прізвище, ім’я та по батькові керівника);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орган управління майном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ідприємства (найменування, місцезнаходження, прізвище, ім’я та по батькові керівника);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lastRenderedPageBreak/>
        <w:t>обсяг платежів за договорами за звітний період – у розрізі товарі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, робіт і послуг;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відомості про договори, укладені за звітний період, загальна вартість яких перевищує 1 мільйон гривень (предмет договору, виконавець (найменування, ідентифікаційний код юридичної особи, місцезнаходження,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ізвище, ім’я та по батькові керівника), вартість договору, ціна за одиницю (за наявності), строк дії договору);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відомості про стан виконання договорів, укладених за попередні звітні періоди, які продовжують виконуватися, загальна вартість яких перевищує 1 мільйон гривень (предмет договору, виконавець (найменування, ідентифікаційний код юридичної особи, місцезнаходження,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ізвище, ім’я та по батькові керівника), вартість договору, ціна за одиницю (за наявності), обсяг платежів за договором у звітному періоді, наявність або відсутність претензій і штрафних санкцій, що виникли в результаті виконання договору, акти виконання договору (акти наданих послуг, приймання-передачі, виконаних робіт) за наявності).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Інформація, зазначена в цьому пункті, оприлюднюється щорічно, не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ізніше 31 січня року, наступного за звітним роком, та зберігається в режимі вільного доступу протягом трьох років з дня оприлюднення;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3) у разі використання коштів загальнообов’язкового державного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соц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іального страхування та коштів Пенсійного фонду: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ідприємство, установа, організація (найменування, ідентифікаційний код юридичної особи, місцезнаходження, прізвище, ім’я та по батькові керівника), що використовує кошти загальнообов’язкового державного соціального страхування та/або кошти Пенсійного фонду;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обсяги надходжень та витрат, затверджені на відповідний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ік;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обсяги надходжень та витрат за звітний період;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інформація про укладені за звітний період договори (предмет договору, виконавець (найменування, ідентифікаційний код юридичної особи, місцезнаходження,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ізвище, ім’я та по батькові керівника), вартість договору, ціна за одиницю (за наявності), проведена процедура закупівлі або обґрунтування її відсутності з посиланням на закон, обсяг платежів за договором у зві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тному періоді, строк дії договору);</w:t>
      </w:r>
      <w:proofErr w:type="gramEnd"/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lastRenderedPageBreak/>
        <w:t xml:space="preserve">інформація про стан виконання договорів (предмет договору, виконавець (найменування, ідентифікаційний код юридичної особи, місцезнаходження,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ізвище, ім’я та по батькові керівника), вартість договору, ціна за одиницю (за наявності), проведена процедура закупівлі або обґрунтування її відсутності з посиланням на закон, обсяг платежів за договором у звітному періоді, наявність або відсутність претензій і штрафних санкцій, що виникли в результаті виконання договору, акти виконання договору (акти наданих послуг, приймання-передачі, виконаних робіт) за наявності);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кількість службових відряджень,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у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тому числі із зазначенням кількості закордонних відряджень, загальний обсяг витрат на службові відрядження, у тому числі із зазначенням обсягу витрат на закордонні відрядження.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Інформація, зазначена в цьому пункті, оприлюднюється щоквартально, не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ізніш як за 35 днів після закінчення звітного кварталу, та зберігається в режимі вільного доступу протягом трьох років з дня оприлюднення.</w:t>
      </w:r>
    </w:p>
    <w:p w:rsidR="00912EE6" w:rsidRPr="00912EE6" w:rsidRDefault="00912EE6" w:rsidP="00912E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Інформація, зазначена в цій статті, оприлюднюється на єдиному веб-порталі використання публічних коштів безоплатно та окремо за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такими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розділами: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1) інформація про використання коштів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державного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і місцевих бюджетів;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2) інформація про використання коштів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ідприємств, отриманих ними від їхньої господарської діяльності;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3) інформація про використання коштів Пенсійного фонду;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4) інформація про використання коштів загальнообов’язкового державного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соц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іального страхування.</w:t>
      </w:r>
    </w:p>
    <w:p w:rsidR="00912EE6" w:rsidRPr="00912EE6" w:rsidRDefault="00912EE6" w:rsidP="00912E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На єдиному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веб-порталі використання публічних коштів у режимі реального часу оприлюднюється також інформація про платіжні трансакції на єдиному казначейському рахунку. Порядок оприлюднення зазначеної інформації визначається Кабінетом Міні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стр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ів України.</w:t>
      </w:r>
    </w:p>
    <w:p w:rsidR="00912EE6" w:rsidRPr="00912EE6" w:rsidRDefault="00912EE6" w:rsidP="00912E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Інформація на єдиному веб-порталі використання публічних коштів оприлюднюється у спосіб, що забезпечує вільний безоплатний доступ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до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неї, можливість аноні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много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перегляду, копіювання та роздрукування інформації.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lastRenderedPageBreak/>
        <w:t xml:space="preserve">Інформація, зазначена в цій статті, оприлюднюється також шляхом розміщення на єдиному веб-порталі використання публічних коштів у вигляді наборів даних (електронних документів), організованих у форматі, що дозволяє їх автоматизоване оброблення електронними засобами (машинозчитування) з метою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повторного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використання.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Стаття 4. </w:t>
      </w: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Відповідальність за порушення вимог цього Закону</w:t>
      </w:r>
    </w:p>
    <w:p w:rsidR="00912EE6" w:rsidRPr="00912EE6" w:rsidRDefault="00912EE6" w:rsidP="00912E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Відповідальність за порушення вимог цього Закону несуть керівники розпорядників та одержувачів коштів державного і місцевих бюджетів,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ідприємств, органів Пенсійного фонду, а також фондів загальнообов’язкового державного соціального страхування. Зазначені особи несуть відповідальність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за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такі порушення: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1) неоприлюднення інформації відповідно до цього Закону;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2) оприлюднення недостовірної, неточної або неповної інформації;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3) несвоєчасне оприлюднення інформації.</w:t>
      </w:r>
    </w:p>
    <w:p w:rsidR="00912EE6" w:rsidRPr="00912EE6" w:rsidRDefault="00912EE6" w:rsidP="00912E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У разі вчинення порушень, зазначених у частині першій цієї статті, з вини суб’єкта, уповноваженого Кабінетом Міні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стр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ів України на адміністрування єдиного веб-порталу використання публічних коштів, відповідальність несе керівник такого уповноваженого суб’єкта.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Розділ II </w:t>
      </w: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br/>
      </w:r>
      <w:r w:rsidRPr="00912EE6">
        <w:rPr>
          <w:rFonts w:ascii="Arial" w:eastAsia="Times New Roman" w:hAnsi="Arial" w:cs="Arial"/>
          <w:b/>
          <w:bCs/>
          <w:color w:val="4F5E62"/>
          <w:sz w:val="21"/>
          <w:lang w:val="ru-RU" w:eastAsia="ru-RU" w:bidi="ar-SA"/>
        </w:rPr>
        <w:t>ПРИКІНЦЕВІ ТА ПЕРЕХІДНІ ПОЛОЖЕННЯ</w:t>
      </w:r>
    </w:p>
    <w:p w:rsidR="00912EE6" w:rsidRPr="00912EE6" w:rsidRDefault="00912EE6" w:rsidP="00912E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Цей Закон набирає чинності через шість місяців з дня його опублікування.</w:t>
      </w:r>
    </w:p>
    <w:p w:rsidR="00912EE6" w:rsidRPr="00912EE6" w:rsidRDefault="00912EE6" w:rsidP="00912E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До приведення законодавства України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у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відповідність із цим Законом акти законодавства України застосовуються в частині, що не суперечить цьому Закону.</w:t>
      </w:r>
    </w:p>
    <w:p w:rsidR="00912EE6" w:rsidRPr="00912EE6" w:rsidRDefault="00912EE6" w:rsidP="00912E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Внести зміни до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таких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законодавчих актів України: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1) </w:t>
      </w:r>
      <w:hyperlink r:id="rId14" w:anchor="n3550" w:history="1">
        <w:r w:rsidRPr="00912EE6">
          <w:rPr>
            <w:rFonts w:ascii="Arial" w:eastAsia="Times New Roman" w:hAnsi="Arial" w:cs="Arial"/>
            <w:color w:val="39B4ED"/>
            <w:sz w:val="21"/>
            <w:u w:val="single"/>
            <w:lang w:val="ru-RU" w:eastAsia="ru-RU" w:bidi="ar-SA"/>
          </w:rPr>
          <w:t>абзац перший</w:t>
        </w:r>
      </w:hyperlink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 частини першої статті 212</w:t>
      </w:r>
      <w:r w:rsidRPr="00912EE6">
        <w:rPr>
          <w:rFonts w:ascii="Arial" w:eastAsia="Times New Roman" w:hAnsi="Arial" w:cs="Arial"/>
          <w:b/>
          <w:bCs/>
          <w:color w:val="4F5E62"/>
          <w:sz w:val="16"/>
          <w:vertAlign w:val="superscript"/>
          <w:lang w:val="ru-RU" w:eastAsia="ru-RU" w:bidi="ar-SA"/>
        </w:rPr>
        <w:t>-3</w:t>
      </w: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 Кодексу України про адміністративні правопорушення (Відомості Верховної Ради УРСР, 1984 р., додаток до № 51, ст. 1122)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ісля слів “законами України “Про доступ до публічної інформації” доповнити словами “Про відкритість використання публічних коштів”.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i/>
          <w:iCs/>
          <w:color w:val="4F5E62"/>
          <w:sz w:val="21"/>
          <w:lang w:val="ru-RU" w:eastAsia="ru-RU" w:bidi="ar-SA"/>
        </w:rPr>
        <w:t>{</w:t>
      </w:r>
      <w:proofErr w:type="gramStart"/>
      <w:r w:rsidRPr="00912EE6">
        <w:rPr>
          <w:rFonts w:ascii="Arial" w:eastAsia="Times New Roman" w:hAnsi="Arial" w:cs="Arial"/>
          <w:i/>
          <w:iCs/>
          <w:color w:val="4F5E62"/>
          <w:sz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i/>
          <w:iCs/>
          <w:color w:val="4F5E62"/>
          <w:sz w:val="21"/>
          <w:lang w:val="ru-RU" w:eastAsia="ru-RU" w:bidi="ar-SA"/>
        </w:rPr>
        <w:t>ідпункт 2 пункту 3 розділу II виключено на підставі Закону </w:t>
      </w:r>
      <w:hyperlink r:id="rId15" w:anchor="n202" w:history="1">
        <w:r w:rsidRPr="00912EE6">
          <w:rPr>
            <w:rFonts w:ascii="Arial" w:eastAsia="Times New Roman" w:hAnsi="Arial" w:cs="Arial"/>
            <w:i/>
            <w:iCs/>
            <w:color w:val="39B4ED"/>
            <w:sz w:val="21"/>
            <w:lang w:val="ru-RU" w:eastAsia="ru-RU" w:bidi="ar-SA"/>
          </w:rPr>
          <w:t>№ 679-VIII від 15.09.2015</w:t>
        </w:r>
      </w:hyperlink>
      <w:r w:rsidRPr="00912EE6">
        <w:rPr>
          <w:rFonts w:ascii="Arial" w:eastAsia="Times New Roman" w:hAnsi="Arial" w:cs="Arial"/>
          <w:i/>
          <w:iCs/>
          <w:color w:val="4F5E62"/>
          <w:sz w:val="21"/>
          <w:lang w:val="ru-RU" w:eastAsia="ru-RU" w:bidi="ar-SA"/>
        </w:rPr>
        <w:t>}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i/>
          <w:iCs/>
          <w:color w:val="4F5E62"/>
          <w:sz w:val="21"/>
          <w:lang w:val="ru-RU" w:eastAsia="ru-RU" w:bidi="ar-SA"/>
        </w:rPr>
        <w:lastRenderedPageBreak/>
        <w:t>{</w:t>
      </w:r>
      <w:proofErr w:type="gramStart"/>
      <w:r w:rsidRPr="00912EE6">
        <w:rPr>
          <w:rFonts w:ascii="Arial" w:eastAsia="Times New Roman" w:hAnsi="Arial" w:cs="Arial"/>
          <w:i/>
          <w:iCs/>
          <w:color w:val="4F5E62"/>
          <w:sz w:val="21"/>
          <w:lang w:val="ru-RU" w:eastAsia="ru-RU" w:bidi="ar-SA"/>
        </w:rPr>
        <w:t>П</w:t>
      </w:r>
      <w:proofErr w:type="gramEnd"/>
      <w:r w:rsidRPr="00912EE6">
        <w:rPr>
          <w:rFonts w:ascii="Arial" w:eastAsia="Times New Roman" w:hAnsi="Arial" w:cs="Arial"/>
          <w:i/>
          <w:iCs/>
          <w:color w:val="4F5E62"/>
          <w:sz w:val="21"/>
          <w:lang w:val="ru-RU" w:eastAsia="ru-RU" w:bidi="ar-SA"/>
        </w:rPr>
        <w:t>ідпункт 3 пункту 3 розділу II виключено на підставі Закону </w:t>
      </w:r>
      <w:hyperlink r:id="rId16" w:anchor="n202" w:history="1">
        <w:r w:rsidRPr="00912EE6">
          <w:rPr>
            <w:rFonts w:ascii="Arial" w:eastAsia="Times New Roman" w:hAnsi="Arial" w:cs="Arial"/>
            <w:i/>
            <w:iCs/>
            <w:color w:val="39B4ED"/>
            <w:sz w:val="21"/>
            <w:lang w:val="ru-RU" w:eastAsia="ru-RU" w:bidi="ar-SA"/>
          </w:rPr>
          <w:t>№ 679-VIII від 15.09.2015</w:t>
        </w:r>
      </w:hyperlink>
      <w:r w:rsidRPr="00912EE6">
        <w:rPr>
          <w:rFonts w:ascii="Arial" w:eastAsia="Times New Roman" w:hAnsi="Arial" w:cs="Arial"/>
          <w:i/>
          <w:iCs/>
          <w:color w:val="4F5E62"/>
          <w:sz w:val="21"/>
          <w:lang w:val="ru-RU" w:eastAsia="ru-RU" w:bidi="ar-SA"/>
        </w:rPr>
        <w:t>}</w:t>
      </w:r>
    </w:p>
    <w:p w:rsidR="00912EE6" w:rsidRPr="00912EE6" w:rsidRDefault="00912EE6" w:rsidP="00912E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Кабінету Міні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стр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ів України у тримісячний строк з дня опублікування цього Закону: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вжити вичерпних заходів для створення і функціонування єдиного веб-порталу використання публічних кошті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затвердити порядок адміністрування єдиного веб-порталу використання публічних кошті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в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прийняти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р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ішення про визначення суб’єкта, уповноваженого адмініструвати єдиний веб-портал використання публічних коштів;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подати Верховній Раді України пропозиції щодо внесення змі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н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до законів, що випливають із цього Закону;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привести свої нормативно-правові акти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у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відповідність із цим Законом;</w:t>
      </w:r>
    </w:p>
    <w:p w:rsidR="00912EE6" w:rsidRPr="00912EE6" w:rsidRDefault="00912EE6" w:rsidP="00912EE6">
      <w:pPr>
        <w:shd w:val="clear" w:color="auto" w:fill="FFFFFF"/>
        <w:spacing w:after="255" w:line="408" w:lineRule="atLeast"/>
        <w:ind w:left="930"/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</w:pPr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забезпечити приведення нормативно-правових актів міністерств та інших центральних органів виконавчої влади </w:t>
      </w:r>
      <w:proofErr w:type="gramStart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>у</w:t>
      </w:r>
      <w:proofErr w:type="gramEnd"/>
      <w:r w:rsidRPr="00912EE6">
        <w:rPr>
          <w:rFonts w:ascii="Arial" w:eastAsia="Times New Roman" w:hAnsi="Arial" w:cs="Arial"/>
          <w:color w:val="4F5E62"/>
          <w:sz w:val="21"/>
          <w:szCs w:val="21"/>
          <w:lang w:val="ru-RU" w:eastAsia="ru-RU" w:bidi="ar-SA"/>
        </w:rPr>
        <w:t xml:space="preserve"> відповідність із цим Законом.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912EE6" w:rsidRPr="00912EE6" w:rsidTr="00912EE6">
        <w:tc>
          <w:tcPr>
            <w:tcW w:w="1500" w:type="pct"/>
            <w:vAlign w:val="center"/>
            <w:hideMark/>
          </w:tcPr>
          <w:p w:rsidR="00912EE6" w:rsidRPr="00912EE6" w:rsidRDefault="00912EE6" w:rsidP="00912EE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12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Президент України</w:t>
            </w:r>
          </w:p>
        </w:tc>
        <w:tc>
          <w:tcPr>
            <w:tcW w:w="3500" w:type="pct"/>
            <w:vAlign w:val="center"/>
            <w:hideMark/>
          </w:tcPr>
          <w:p w:rsidR="00912EE6" w:rsidRPr="00912EE6" w:rsidRDefault="00912EE6" w:rsidP="00912EE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12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П.ПОРОШЕНКО</w:t>
            </w:r>
          </w:p>
        </w:tc>
      </w:tr>
      <w:tr w:rsidR="00912EE6" w:rsidRPr="00912EE6" w:rsidTr="00912EE6">
        <w:tc>
          <w:tcPr>
            <w:tcW w:w="0" w:type="auto"/>
            <w:vAlign w:val="center"/>
            <w:hideMark/>
          </w:tcPr>
          <w:p w:rsidR="00912EE6" w:rsidRPr="00912EE6" w:rsidRDefault="00912EE6" w:rsidP="00912EE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912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м. Київ </w:t>
            </w:r>
            <w:r w:rsidRPr="00912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  <w:r w:rsidRPr="00912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11 лютого 2015 року </w:t>
            </w:r>
            <w:r w:rsidRPr="00912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br/>
            </w:r>
            <w:r w:rsidRPr="00912E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  <w:t>№ 183-VIII</w:t>
            </w:r>
          </w:p>
        </w:tc>
        <w:tc>
          <w:tcPr>
            <w:tcW w:w="0" w:type="auto"/>
            <w:vAlign w:val="center"/>
            <w:hideMark/>
          </w:tcPr>
          <w:p w:rsidR="00912EE6" w:rsidRPr="00912EE6" w:rsidRDefault="00912EE6" w:rsidP="00912EE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</w:tr>
    </w:tbl>
    <w:p w:rsidR="00E941C3" w:rsidRPr="00912EE6" w:rsidRDefault="00E941C3">
      <w:pPr>
        <w:rPr>
          <w:lang w:val="ru-RU"/>
        </w:rPr>
      </w:pPr>
    </w:p>
    <w:sectPr w:rsidR="00E941C3" w:rsidRPr="00912EE6" w:rsidSect="00E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06C"/>
    <w:multiLevelType w:val="multilevel"/>
    <w:tmpl w:val="EC38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7751"/>
    <w:multiLevelType w:val="multilevel"/>
    <w:tmpl w:val="6E74F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C4F"/>
    <w:multiLevelType w:val="multilevel"/>
    <w:tmpl w:val="2738F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D5B32"/>
    <w:multiLevelType w:val="multilevel"/>
    <w:tmpl w:val="D16A7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76AEF"/>
    <w:multiLevelType w:val="multilevel"/>
    <w:tmpl w:val="410CD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84FF7"/>
    <w:multiLevelType w:val="multilevel"/>
    <w:tmpl w:val="E76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26072"/>
    <w:multiLevelType w:val="multilevel"/>
    <w:tmpl w:val="A09E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03BE2"/>
    <w:multiLevelType w:val="multilevel"/>
    <w:tmpl w:val="2EC6C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F0CA2"/>
    <w:multiLevelType w:val="multilevel"/>
    <w:tmpl w:val="BE88D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80326"/>
    <w:multiLevelType w:val="multilevel"/>
    <w:tmpl w:val="F4D2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141B5"/>
    <w:multiLevelType w:val="multilevel"/>
    <w:tmpl w:val="18A8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4618A"/>
    <w:multiLevelType w:val="multilevel"/>
    <w:tmpl w:val="82DA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2EE6"/>
    <w:rsid w:val="000A17C0"/>
    <w:rsid w:val="001256C4"/>
    <w:rsid w:val="001D7ABC"/>
    <w:rsid w:val="00220420"/>
    <w:rsid w:val="002817E8"/>
    <w:rsid w:val="00612A7A"/>
    <w:rsid w:val="00775161"/>
    <w:rsid w:val="00912EE6"/>
    <w:rsid w:val="009D3D46"/>
    <w:rsid w:val="00A27ED1"/>
    <w:rsid w:val="00AD35DB"/>
    <w:rsid w:val="00C052DB"/>
    <w:rsid w:val="00E941C3"/>
    <w:rsid w:val="00F06D5D"/>
    <w:rsid w:val="00F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27E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E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E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27E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7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7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7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7E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7E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7E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7E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7ED1"/>
    <w:rPr>
      <w:b/>
      <w:bCs/>
      <w:spacing w:val="0"/>
    </w:rPr>
  </w:style>
  <w:style w:type="character" w:styleId="a9">
    <w:name w:val="Emphasis"/>
    <w:uiPriority w:val="20"/>
    <w:qFormat/>
    <w:rsid w:val="00A27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7E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7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7E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7E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27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7E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7E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7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7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7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7ED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12E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12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4029">
                      <w:marLeft w:val="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12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649705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456-17" TargetMode="External"/><Relationship Id="rId13" Type="http://schemas.openxmlformats.org/officeDocument/2006/relationships/hyperlink" Target="http://zakon.rada.gov.ua/laws/show/694-2015-%D0%B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456-17" TargetMode="External"/><Relationship Id="rId12" Type="http://schemas.openxmlformats.org/officeDocument/2006/relationships/hyperlink" Target="http://zakon.rada.gov.ua/laws/show/1058-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679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56-17" TargetMode="External"/><Relationship Id="rId11" Type="http://schemas.openxmlformats.org/officeDocument/2006/relationships/hyperlink" Target="http://zakon.rada.gov.ua/laws/show/2456-17" TargetMode="External"/><Relationship Id="rId5" Type="http://schemas.openxmlformats.org/officeDocument/2006/relationships/hyperlink" Target="http://zakon.rada.gov.ua/laws/show/679-19" TargetMode="External"/><Relationship Id="rId15" Type="http://schemas.openxmlformats.org/officeDocument/2006/relationships/hyperlink" Target="http://zakon.rada.gov.ua/laws/show/679-19" TargetMode="External"/><Relationship Id="rId10" Type="http://schemas.openxmlformats.org/officeDocument/2006/relationships/hyperlink" Target="http://zakon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456-17" TargetMode="External"/><Relationship Id="rId14" Type="http://schemas.openxmlformats.org/officeDocument/2006/relationships/hyperlink" Target="http://zakon.rada.gov.ua/laws/show/80731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2291</Words>
  <Characters>13065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2019-10-22T08:51:00Z</dcterms:created>
  <dcterms:modified xsi:type="dcterms:W3CDTF">2019-10-22T08:51:00Z</dcterms:modified>
</cp:coreProperties>
</file>